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bookmarkStart w:colFirst="0" w:colLast="0" w:name="_heading=h.1fob9te" w:id="0"/>
      <w:bookmarkEnd w:id="0"/>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RM6283</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b w:val="1"/>
          <w:sz w:val="24"/>
          <w:szCs w:val="24"/>
          <w:rtl w:val="0"/>
        </w:rPr>
        <w:t xml:space="preserve">Front Office Counter Services 2.</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CALL-OFF LOT(S): </w:t>
      </w:r>
      <w:r w:rsidDel="00000000" w:rsidR="00000000" w:rsidRPr="00000000">
        <w:rPr>
          <w:rFonts w:ascii="Arial" w:cs="Arial" w:eastAsia="Arial" w:hAnsi="Arial"/>
          <w:b w:val="1"/>
          <w:sz w:val="24"/>
          <w:szCs w:val="24"/>
          <w:rtl w:val="0"/>
        </w:rPr>
        <w:t xml:space="preserve">Lot 1</w:t>
      </w:r>
      <w:r w:rsidDel="00000000" w:rsidR="00000000" w:rsidRPr="00000000">
        <w:rPr>
          <w:rtl w:val="0"/>
        </w:rPr>
      </w:r>
    </w:p>
    <w:p w:rsidR="00000000" w:rsidDel="00000000" w:rsidP="00000000" w:rsidRDefault="00000000" w:rsidRPr="00000000" w14:paraId="0000001E">
      <w:pPr>
        <w:rPr>
          <w:rFonts w:ascii="Arial" w:cs="Arial" w:eastAsia="Arial" w:hAnsi="Arial"/>
          <w:b w:val="1"/>
          <w:sz w:val="24"/>
          <w:szCs w:val="24"/>
        </w:rPr>
      </w:pPr>
      <w:bookmarkStart w:colFirst="0" w:colLast="0" w:name="_heading=h.gjdgxs" w:id="2"/>
      <w:bookmarkEnd w:id="2"/>
      <w:r w:rsidDel="00000000" w:rsidR="00000000" w:rsidRPr="00000000">
        <w:br w:type="page"/>
      </w:r>
      <w:r w:rsidDel="00000000" w:rsidR="00000000" w:rsidRPr="00000000">
        <w:rPr>
          <w:rtl w:val="0"/>
        </w:rPr>
      </w:r>
    </w:p>
    <w:p w:rsidR="00000000" w:rsidDel="00000000" w:rsidP="00000000" w:rsidRDefault="00000000" w:rsidRPr="00000000" w14:paraId="0000001F">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sz w:val="24"/>
          <w:szCs w:val="24"/>
          <w:rtl w:val="0"/>
        </w:rPr>
        <w:t xml:space="preserve">includes</w:t>
      </w:r>
      <w:r w:rsidDel="00000000" w:rsidR="00000000" w:rsidRPr="00000000">
        <w:rPr>
          <w:rFonts w:ascii="Arial" w:cs="Arial" w:eastAsia="Arial" w:hAnsi="Arial"/>
          <w:color w:val="000000"/>
          <w:sz w:val="24"/>
          <w:szCs w:val="24"/>
          <w:rtl w:val="0"/>
        </w:rPr>
        <w:t xml:space="preserve"> the Call-Off Special Terms and Call-Off Special Schedules.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RM6283</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 xml:space="preserve">4.12 Core Terms</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amendments to these Core Terms, and in particular this Paragraph 4, may be facilitated at Call-Off stage to facilitate the invoicing arrangements between the Supplier and the Buyer, where the Buyer is not responsible for the payment of the Charges which will be collected by the Supplier through the Citizen accessing the Services”</w:t>
        <w:tab/>
      </w:r>
      <w:r w:rsidDel="00000000" w:rsidR="00000000" w:rsidRPr="00000000">
        <w:rPr>
          <w:rFonts w:ascii="Arial" w:cs="Arial" w:eastAsia="Arial" w:hAnsi="Arial"/>
          <w:sz w:val="24"/>
          <w:szCs w:val="24"/>
          <w:rtl w:val="0"/>
        </w:rPr>
        <w:tab/>
        <w:tab/>
        <w:tab/>
        <w:tab/>
        <w:tab/>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3">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C">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E">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1">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6">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7">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8">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D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XrxsLOv2OnD31NU7r52PQ37j7Q==">CgMxLjAyCWguMWZvYjl0ZTIJaC4zMGowemxsMghoLmdqZGd4czIKaWQuMzBqMHpsbDgAciExN1k2T01ha2ZLQnAyY1NQTWdzWXRrcTExd0NHdUN4eWk=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2023-05-10T11:22:00Z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